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E99" w:rsidRDefault="000D0E99" w:rsidP="000D0E99">
      <w:pPr>
        <w:rPr>
          <w:rFonts w:asciiTheme="minorEastAsia" w:hAnsiTheme="minorEastAsia" w:cs="宋体"/>
          <w:b/>
          <w:sz w:val="32"/>
          <w:szCs w:val="32"/>
        </w:rPr>
      </w:pPr>
      <w:r>
        <w:rPr>
          <w:rFonts w:asciiTheme="minorEastAsia" w:hAnsiTheme="minorEastAsia" w:cs="宋体"/>
          <w:b/>
          <w:sz w:val="32"/>
          <w:szCs w:val="32"/>
        </w:rPr>
        <w:t>附件</w:t>
      </w:r>
      <w:r>
        <w:rPr>
          <w:rFonts w:asciiTheme="minorEastAsia" w:hAnsiTheme="minorEastAsia" w:cs="宋体" w:hint="eastAsia"/>
          <w:b/>
          <w:sz w:val="32"/>
          <w:szCs w:val="32"/>
        </w:rPr>
        <w:t xml:space="preserve">1： </w:t>
      </w:r>
    </w:p>
    <w:p w:rsidR="000D0E99" w:rsidRDefault="000D0E99" w:rsidP="000D0E99">
      <w:pPr>
        <w:spacing w:line="360" w:lineRule="auto"/>
        <w:jc w:val="center"/>
        <w:rPr>
          <w:b/>
          <w:sz w:val="32"/>
          <w:szCs w:val="40"/>
        </w:rPr>
      </w:pPr>
      <w:r>
        <w:rPr>
          <w:rFonts w:hint="eastAsia"/>
          <w:b/>
          <w:sz w:val="32"/>
          <w:szCs w:val="40"/>
        </w:rPr>
        <w:t>中国石油大学（华东）院部易班建设工作月度考核办法（修订）</w:t>
      </w:r>
    </w:p>
    <w:p w:rsidR="000D0E99" w:rsidRPr="00C52B9C" w:rsidRDefault="000D0E99" w:rsidP="000D0E99">
      <w:pPr>
        <w:spacing w:line="360" w:lineRule="auto"/>
        <w:rPr>
          <w:b/>
          <w:sz w:val="24"/>
          <w:szCs w:val="32"/>
        </w:rPr>
      </w:pPr>
    </w:p>
    <w:p w:rsidR="000D0E99" w:rsidRDefault="000D0E99" w:rsidP="000D0E99">
      <w:pPr>
        <w:spacing w:line="360" w:lineRule="auto"/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第一章</w:t>
      </w:r>
      <w:r>
        <w:rPr>
          <w:rFonts w:hint="eastAsia"/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</w:rPr>
        <w:t>总则</w:t>
      </w:r>
      <w:bookmarkStart w:id="0" w:name="_GoBack"/>
      <w:bookmarkEnd w:id="0"/>
    </w:p>
    <w:p w:rsidR="000D0E99" w:rsidRDefault="000D0E99" w:rsidP="000D0E99">
      <w:pPr>
        <w:pStyle w:val="1"/>
        <w:spacing w:line="360" w:lineRule="auto"/>
        <w:rPr>
          <w:b w:val="0"/>
          <w:sz w:val="24"/>
          <w:szCs w:val="24"/>
        </w:rPr>
      </w:pPr>
      <w:r>
        <w:rPr>
          <w:rFonts w:hint="eastAsia"/>
          <w:sz w:val="24"/>
          <w:szCs w:val="24"/>
        </w:rPr>
        <w:t>第一条 制定目的</w:t>
      </w:r>
    </w:p>
    <w:p w:rsidR="000D0E99" w:rsidRDefault="000D0E99" w:rsidP="000D0E99">
      <w:pPr>
        <w:spacing w:line="360" w:lineRule="auto"/>
        <w:ind w:firstLine="480"/>
        <w:jc w:val="center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为积极推进各院部易班工作，提高学校易班发展的整体质量，特制定</w:t>
      </w:r>
      <w:proofErr w:type="gramStart"/>
      <w:r>
        <w:rPr>
          <w:rFonts w:ascii="宋体" w:hAnsi="宋体" w:hint="eastAsia"/>
          <w:sz w:val="24"/>
          <w:szCs w:val="24"/>
        </w:rPr>
        <w:t>《</w:t>
      </w:r>
      <w:proofErr w:type="gramEnd"/>
      <w:r w:rsidRPr="00441B77">
        <w:rPr>
          <w:rFonts w:ascii="宋体" w:hAnsi="宋体" w:hint="eastAsia"/>
          <w:sz w:val="24"/>
          <w:szCs w:val="24"/>
        </w:rPr>
        <w:t>中</w:t>
      </w:r>
    </w:p>
    <w:p w:rsidR="000D0E99" w:rsidRPr="00441B77" w:rsidRDefault="000D0E99" w:rsidP="000D0E99">
      <w:pPr>
        <w:spacing w:line="360" w:lineRule="auto"/>
        <w:rPr>
          <w:rFonts w:ascii="宋体" w:hAnsi="宋体"/>
          <w:sz w:val="24"/>
          <w:szCs w:val="24"/>
        </w:rPr>
      </w:pPr>
      <w:r w:rsidRPr="00441B77">
        <w:rPr>
          <w:rFonts w:ascii="宋体" w:hAnsi="宋体" w:hint="eastAsia"/>
          <w:sz w:val="24"/>
          <w:szCs w:val="24"/>
        </w:rPr>
        <w:t>国石油大学（华东）院部易班建设工作月度考核办法</w:t>
      </w:r>
      <w:proofErr w:type="gramStart"/>
      <w:r>
        <w:rPr>
          <w:rFonts w:ascii="宋体" w:hAnsi="宋体" w:hint="eastAsia"/>
          <w:sz w:val="24"/>
          <w:szCs w:val="24"/>
        </w:rPr>
        <w:t>》</w:t>
      </w:r>
      <w:proofErr w:type="gramEnd"/>
      <w:r>
        <w:rPr>
          <w:rFonts w:ascii="宋体" w:hAnsi="宋体" w:hint="eastAsia"/>
          <w:sz w:val="24"/>
          <w:szCs w:val="24"/>
        </w:rPr>
        <w:t>（以下</w:t>
      </w:r>
      <w:proofErr w:type="gramStart"/>
      <w:r>
        <w:rPr>
          <w:rFonts w:ascii="宋体" w:hAnsi="宋体" w:hint="eastAsia"/>
          <w:sz w:val="24"/>
          <w:szCs w:val="24"/>
        </w:rPr>
        <w:t>称考核</w:t>
      </w:r>
      <w:proofErr w:type="gramEnd"/>
      <w:r>
        <w:rPr>
          <w:rFonts w:ascii="宋体" w:hAnsi="宋体" w:hint="eastAsia"/>
          <w:sz w:val="24"/>
          <w:szCs w:val="24"/>
        </w:rPr>
        <w:t>办法）。</w:t>
      </w:r>
    </w:p>
    <w:p w:rsidR="000D0E99" w:rsidRDefault="000D0E99" w:rsidP="000D0E99">
      <w:pPr>
        <w:pStyle w:val="1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制定原则</w:t>
      </w:r>
    </w:p>
    <w:p w:rsidR="000D0E99" w:rsidRDefault="000D0E99" w:rsidP="000D0E99">
      <w:pPr>
        <w:pStyle w:val="1"/>
        <w:spacing w:line="360" w:lineRule="auto"/>
        <w:rPr>
          <w:b w:val="0"/>
          <w:bCs/>
          <w:sz w:val="24"/>
          <w:szCs w:val="24"/>
        </w:rPr>
      </w:pPr>
      <w:r>
        <w:rPr>
          <w:rFonts w:hint="eastAsia"/>
          <w:b w:val="0"/>
          <w:bCs/>
          <w:sz w:val="24"/>
          <w:szCs w:val="24"/>
        </w:rPr>
        <w:t xml:space="preserve">    1、坚持客观性与公平性原则；</w:t>
      </w:r>
    </w:p>
    <w:p w:rsidR="000D0E99" w:rsidRDefault="000D0E99" w:rsidP="000D0E99"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   2、评比内容指标化。</w:t>
      </w:r>
    </w:p>
    <w:p w:rsidR="000D0E99" w:rsidRDefault="000D0E99" w:rsidP="000D0E99">
      <w:pPr>
        <w:pStyle w:val="1"/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第三条 适用范围</w:t>
      </w:r>
    </w:p>
    <w:p w:rsidR="000D0E99" w:rsidRDefault="000D0E99" w:rsidP="000D0E99"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   中国石油大学（华东）各院部</w:t>
      </w:r>
    </w:p>
    <w:p w:rsidR="000D0E99" w:rsidRDefault="000D0E99" w:rsidP="000D0E99">
      <w:pPr>
        <w:spacing w:line="360" w:lineRule="auto"/>
        <w:ind w:firstLineChars="200" w:firstLine="482"/>
        <w:jc w:val="center"/>
        <w:rPr>
          <w:rFonts w:ascii="宋体" w:hAnsi="宋体" w:cs="宋体"/>
          <w:b/>
          <w:bCs/>
          <w:sz w:val="24"/>
          <w:szCs w:val="24"/>
        </w:rPr>
      </w:pPr>
    </w:p>
    <w:p w:rsidR="000D0E99" w:rsidRDefault="000D0E99" w:rsidP="000D0E99">
      <w:pPr>
        <w:spacing w:line="360" w:lineRule="auto"/>
        <w:ind w:firstLineChars="200" w:firstLine="482"/>
        <w:jc w:val="center"/>
        <w:rPr>
          <w:rFonts w:ascii="宋体" w:hAnsi="宋体" w:cs="宋体"/>
          <w:b/>
          <w:bCs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第二章  细则</w:t>
      </w:r>
    </w:p>
    <w:p w:rsidR="000D0E99" w:rsidRDefault="000D0E99" w:rsidP="000D0E99">
      <w:pPr>
        <w:spacing w:line="360" w:lineRule="auto"/>
        <w:rPr>
          <w:rFonts w:ascii="宋体" w:hAnsi="宋体" w:cs="宋体"/>
          <w:b/>
          <w:bCs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第四条 考核办法</w:t>
      </w:r>
    </w:p>
    <w:p w:rsidR="000D0E99" w:rsidRPr="00BF6A6C" w:rsidRDefault="000D0E99" w:rsidP="000D0E99">
      <w:pPr>
        <w:spacing w:line="360" w:lineRule="auto"/>
        <w:ind w:firstLineChars="200" w:firstLine="480"/>
        <w:rPr>
          <w:rFonts w:ascii="宋体" w:hAnsi="宋体" w:cs="宋体"/>
          <w:b/>
          <w:bCs/>
          <w:sz w:val="24"/>
          <w:szCs w:val="24"/>
        </w:rPr>
      </w:pPr>
      <w:r w:rsidRPr="00BF6A6C">
        <w:rPr>
          <w:rFonts w:ascii="宋体" w:hAnsi="宋体"/>
          <w:sz w:val="24"/>
          <w:szCs w:val="24"/>
        </w:rPr>
        <w:t>1</w:t>
      </w:r>
      <w:r w:rsidRPr="00BF6A6C">
        <w:rPr>
          <w:rFonts w:ascii="宋体" w:hAnsi="宋体" w:hint="eastAsia"/>
          <w:sz w:val="24"/>
          <w:szCs w:val="24"/>
        </w:rPr>
        <w:t>、</w:t>
      </w:r>
      <w:r>
        <w:rPr>
          <w:rFonts w:ascii="宋体" w:hAnsi="宋体" w:hint="eastAsia"/>
          <w:sz w:val="24"/>
          <w:szCs w:val="24"/>
        </w:rPr>
        <w:t>校</w:t>
      </w:r>
      <w:r w:rsidRPr="002304D2">
        <w:rPr>
          <w:rFonts w:ascii="宋体" w:hAnsi="宋体" w:hint="eastAsia"/>
          <w:sz w:val="24"/>
          <w:szCs w:val="24"/>
        </w:rPr>
        <w:t>易班发展中心</w:t>
      </w:r>
      <w:r>
        <w:rPr>
          <w:rFonts w:ascii="宋体" w:hAnsi="宋体" w:hint="eastAsia"/>
          <w:sz w:val="24"/>
          <w:szCs w:val="24"/>
        </w:rPr>
        <w:t>依据考核办法对各院部易班建设工作进行考核评比。月度评比成绩作为年度评比成绩的重要组成部分（占比</w:t>
      </w:r>
      <w:r>
        <w:rPr>
          <w:rFonts w:ascii="宋体" w:hAnsi="宋体"/>
          <w:sz w:val="24"/>
          <w:szCs w:val="24"/>
        </w:rPr>
        <w:t>50</w:t>
      </w:r>
      <w:r>
        <w:rPr>
          <w:rFonts w:ascii="宋体" w:hAnsi="宋体" w:hint="eastAsia"/>
          <w:sz w:val="24"/>
          <w:szCs w:val="24"/>
        </w:rPr>
        <w:t>%）；</w:t>
      </w:r>
    </w:p>
    <w:p w:rsidR="000D0E99" w:rsidRDefault="000D0E99" w:rsidP="000D0E99">
      <w:pPr>
        <w:spacing w:line="360" w:lineRule="auto"/>
        <w:rPr>
          <w:rFonts w:ascii="宋体" w:hAnsi="宋体"/>
          <w:sz w:val="24"/>
          <w:szCs w:val="24"/>
        </w:rPr>
      </w:pPr>
      <w:r w:rsidRPr="002304D2">
        <w:rPr>
          <w:rFonts w:ascii="宋体" w:hAnsi="宋体" w:hint="eastAsia"/>
          <w:sz w:val="24"/>
          <w:szCs w:val="24"/>
        </w:rPr>
        <w:t xml:space="preserve">  </w:t>
      </w:r>
      <w:r>
        <w:rPr>
          <w:rFonts w:ascii="宋体" w:hAnsi="宋体" w:hint="eastAsia"/>
          <w:sz w:val="24"/>
          <w:szCs w:val="24"/>
        </w:rPr>
        <w:t xml:space="preserve">  </w:t>
      </w:r>
      <w:r>
        <w:rPr>
          <w:rFonts w:ascii="宋体" w:hAnsi="宋体"/>
          <w:sz w:val="24"/>
          <w:szCs w:val="24"/>
        </w:rPr>
        <w:t>2</w:t>
      </w:r>
      <w:r w:rsidRPr="002304D2">
        <w:rPr>
          <w:rFonts w:ascii="宋体" w:hAnsi="宋体" w:hint="eastAsia"/>
          <w:sz w:val="24"/>
          <w:szCs w:val="24"/>
        </w:rPr>
        <w:t>、</w:t>
      </w:r>
      <w:r>
        <w:rPr>
          <w:rFonts w:ascii="宋体" w:hAnsi="宋体" w:hint="eastAsia"/>
          <w:sz w:val="24"/>
          <w:szCs w:val="24"/>
        </w:rPr>
        <w:t>各院部易班发展中心可依据本办法自行制定院部工作规范。</w:t>
      </w:r>
    </w:p>
    <w:p w:rsidR="000D0E99" w:rsidRDefault="000D0E99" w:rsidP="000D0E99">
      <w:pPr>
        <w:spacing w:line="360" w:lineRule="auto"/>
        <w:rPr>
          <w:rFonts w:ascii="宋体" w:hAnsi="宋体" w:cs="宋体"/>
          <w:b/>
          <w:bCs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第五条 考核标准</w:t>
      </w:r>
    </w:p>
    <w:p w:rsidR="000D0E99" w:rsidRPr="002304D2" w:rsidRDefault="000D0E99" w:rsidP="000D0E99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2304D2">
        <w:rPr>
          <w:rFonts w:ascii="宋体" w:hAnsi="宋体" w:hint="eastAsia"/>
          <w:sz w:val="24"/>
          <w:szCs w:val="24"/>
        </w:rPr>
        <w:t>1、</w:t>
      </w:r>
      <w:r w:rsidRPr="002304D2">
        <w:rPr>
          <w:rFonts w:ascii="宋体" w:hAnsi="宋体"/>
          <w:sz w:val="24"/>
          <w:szCs w:val="24"/>
        </w:rPr>
        <w:t>考核指标包含：</w:t>
      </w:r>
      <w:r w:rsidRPr="002304D2">
        <w:rPr>
          <w:rFonts w:ascii="宋体" w:hAnsi="宋体" w:hint="eastAsia"/>
          <w:sz w:val="24"/>
          <w:szCs w:val="24"/>
        </w:rPr>
        <w:t>学院共建指数、学院活跃指数、</w:t>
      </w:r>
      <w:proofErr w:type="gramStart"/>
      <w:r>
        <w:rPr>
          <w:rFonts w:ascii="宋体" w:hAnsi="宋体" w:hint="eastAsia"/>
          <w:sz w:val="24"/>
          <w:szCs w:val="24"/>
        </w:rPr>
        <w:t>优课活跃</w:t>
      </w:r>
      <w:proofErr w:type="gramEnd"/>
      <w:r>
        <w:rPr>
          <w:rFonts w:ascii="宋体" w:hAnsi="宋体" w:hint="eastAsia"/>
          <w:sz w:val="24"/>
          <w:szCs w:val="24"/>
        </w:rPr>
        <w:t>度、</w:t>
      </w:r>
      <w:proofErr w:type="gramStart"/>
      <w:r w:rsidRPr="007101CB">
        <w:rPr>
          <w:rFonts w:ascii="宋体" w:hAnsi="宋体" w:hint="eastAsia"/>
          <w:sz w:val="24"/>
          <w:szCs w:val="24"/>
        </w:rPr>
        <w:t>轻应用快搭、</w:t>
      </w:r>
      <w:r w:rsidRPr="002304D2">
        <w:rPr>
          <w:rFonts w:ascii="宋体" w:hAnsi="宋体" w:hint="eastAsia"/>
          <w:sz w:val="24"/>
          <w:szCs w:val="24"/>
        </w:rPr>
        <w:t>推文</w:t>
      </w:r>
      <w:proofErr w:type="gramEnd"/>
      <w:r>
        <w:rPr>
          <w:rFonts w:ascii="宋体" w:hAnsi="宋体" w:hint="eastAsia"/>
          <w:sz w:val="24"/>
          <w:szCs w:val="24"/>
        </w:rPr>
        <w:t>投稿</w:t>
      </w:r>
      <w:r w:rsidRPr="002304D2">
        <w:rPr>
          <w:rFonts w:ascii="宋体" w:hAnsi="宋体" w:hint="eastAsia"/>
          <w:sz w:val="24"/>
          <w:szCs w:val="24"/>
        </w:rPr>
        <w:t>、</w:t>
      </w:r>
      <w:r>
        <w:rPr>
          <w:rFonts w:ascii="宋体" w:hAnsi="宋体" w:hint="eastAsia"/>
          <w:sz w:val="24"/>
          <w:szCs w:val="24"/>
        </w:rPr>
        <w:t>易班活动，</w:t>
      </w:r>
      <w:r w:rsidRPr="002304D2">
        <w:rPr>
          <w:rFonts w:ascii="宋体" w:hAnsi="宋体" w:hint="eastAsia"/>
          <w:sz w:val="24"/>
          <w:szCs w:val="24"/>
        </w:rPr>
        <w:t>满分为100分。</w:t>
      </w:r>
    </w:p>
    <w:p w:rsidR="000D0E99" w:rsidRDefault="000D0E99" w:rsidP="000D0E99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68273D">
        <w:rPr>
          <w:rFonts w:ascii="宋体" w:hAnsi="宋体"/>
          <w:sz w:val="24"/>
          <w:szCs w:val="24"/>
        </w:rPr>
        <w:t>2、各项指标考核标准：</w:t>
      </w:r>
    </w:p>
    <w:p w:rsidR="000D0E99" w:rsidRDefault="000D0E99" w:rsidP="000D0E99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</w:p>
    <w:p w:rsidR="000D0E99" w:rsidRDefault="000D0E99" w:rsidP="000D0E99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</w:p>
    <w:p w:rsidR="000D0E99" w:rsidRDefault="000D0E99" w:rsidP="000D0E99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</w:p>
    <w:p w:rsidR="000D0E99" w:rsidRDefault="000D0E99" w:rsidP="000D0E99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</w:p>
    <w:p w:rsidR="000D0E99" w:rsidRDefault="000D0E99" w:rsidP="000D0E99">
      <w:pPr>
        <w:spacing w:line="360" w:lineRule="auto"/>
        <w:jc w:val="center"/>
        <w:rPr>
          <w:rFonts w:ascii="宋体" w:hAnsi="宋体"/>
          <w:b/>
          <w:sz w:val="24"/>
          <w:szCs w:val="24"/>
        </w:rPr>
      </w:pPr>
    </w:p>
    <w:tbl>
      <w:tblPr>
        <w:tblStyle w:val="a3"/>
        <w:tblW w:w="8755" w:type="dxa"/>
        <w:tblLook w:val="04A0" w:firstRow="1" w:lastRow="0" w:firstColumn="1" w:lastColumn="0" w:noHBand="0" w:noVBand="1"/>
      </w:tblPr>
      <w:tblGrid>
        <w:gridCol w:w="1696"/>
        <w:gridCol w:w="993"/>
        <w:gridCol w:w="6066"/>
      </w:tblGrid>
      <w:tr w:rsidR="000D0E99" w:rsidRPr="00C52B9C" w:rsidTr="00983A92">
        <w:trPr>
          <w:trHeight w:val="557"/>
        </w:trPr>
        <w:tc>
          <w:tcPr>
            <w:tcW w:w="1696" w:type="dxa"/>
            <w:vAlign w:val="center"/>
          </w:tcPr>
          <w:p w:rsidR="000D0E99" w:rsidRPr="009660D7" w:rsidRDefault="000D0E99" w:rsidP="00983A92">
            <w:pPr>
              <w:spacing w:line="420" w:lineRule="exact"/>
              <w:jc w:val="center"/>
              <w:rPr>
                <w:rFonts w:ascii="宋体" w:hAnsi="宋体" w:cs="宋体"/>
                <w:b/>
                <w:bCs/>
                <w:color w:val="1E1C11"/>
                <w:sz w:val="28"/>
                <w:szCs w:val="28"/>
              </w:rPr>
            </w:pPr>
            <w:r w:rsidRPr="009660D7">
              <w:rPr>
                <w:rFonts w:ascii="宋体" w:hAnsi="宋体" w:cs="宋体" w:hint="eastAsia"/>
                <w:b/>
                <w:bCs/>
                <w:color w:val="1E1C11"/>
                <w:sz w:val="28"/>
                <w:szCs w:val="28"/>
              </w:rPr>
              <w:lastRenderedPageBreak/>
              <w:t>指标</w:t>
            </w:r>
          </w:p>
        </w:tc>
        <w:tc>
          <w:tcPr>
            <w:tcW w:w="993" w:type="dxa"/>
            <w:vAlign w:val="center"/>
          </w:tcPr>
          <w:p w:rsidR="000D0E99" w:rsidRPr="009660D7" w:rsidRDefault="000D0E99" w:rsidP="00983A92">
            <w:pPr>
              <w:spacing w:line="420" w:lineRule="exact"/>
              <w:jc w:val="center"/>
              <w:rPr>
                <w:rFonts w:ascii="宋体" w:hAnsi="宋体" w:cs="宋体"/>
                <w:b/>
                <w:bCs/>
                <w:color w:val="1E1C11"/>
                <w:sz w:val="28"/>
                <w:szCs w:val="28"/>
              </w:rPr>
            </w:pPr>
            <w:r w:rsidRPr="009660D7">
              <w:rPr>
                <w:rFonts w:ascii="宋体" w:hAnsi="宋体" w:cs="宋体"/>
                <w:b/>
                <w:bCs/>
                <w:color w:val="1E1C11"/>
                <w:sz w:val="28"/>
                <w:szCs w:val="28"/>
              </w:rPr>
              <w:t>分值</w:t>
            </w:r>
          </w:p>
        </w:tc>
        <w:tc>
          <w:tcPr>
            <w:tcW w:w="6066" w:type="dxa"/>
            <w:vAlign w:val="center"/>
          </w:tcPr>
          <w:p w:rsidR="000D0E99" w:rsidRPr="009660D7" w:rsidRDefault="000D0E99" w:rsidP="00983A92">
            <w:pPr>
              <w:spacing w:line="420" w:lineRule="exact"/>
              <w:jc w:val="center"/>
              <w:rPr>
                <w:rFonts w:ascii="宋体" w:hAnsi="宋体" w:cs="宋体"/>
                <w:b/>
                <w:bCs/>
                <w:color w:val="1E1C11"/>
                <w:sz w:val="28"/>
                <w:szCs w:val="28"/>
              </w:rPr>
            </w:pPr>
            <w:proofErr w:type="gramStart"/>
            <w:r w:rsidRPr="009660D7">
              <w:rPr>
                <w:rFonts w:ascii="宋体" w:hAnsi="宋体" w:cs="宋体"/>
                <w:b/>
                <w:bCs/>
                <w:color w:val="1E1C11"/>
                <w:sz w:val="28"/>
                <w:szCs w:val="28"/>
              </w:rPr>
              <w:t>赋分办法</w:t>
            </w:r>
            <w:proofErr w:type="gramEnd"/>
          </w:p>
        </w:tc>
      </w:tr>
      <w:tr w:rsidR="000D0E99" w:rsidRPr="00C52B9C" w:rsidTr="00983A92">
        <w:trPr>
          <w:trHeight w:val="707"/>
        </w:trPr>
        <w:tc>
          <w:tcPr>
            <w:tcW w:w="1696" w:type="dxa"/>
            <w:vAlign w:val="center"/>
          </w:tcPr>
          <w:p w:rsidR="000D0E99" w:rsidRPr="00DB5766" w:rsidRDefault="000D0E99" w:rsidP="00983A92">
            <w:pPr>
              <w:spacing w:line="420" w:lineRule="exact"/>
              <w:rPr>
                <w:rFonts w:ascii="宋体" w:hAnsi="宋体" w:cs="宋体"/>
                <w:bCs/>
                <w:color w:val="1E1C11"/>
                <w:szCs w:val="21"/>
              </w:rPr>
            </w:pPr>
            <w:r w:rsidRPr="00DB5766">
              <w:rPr>
                <w:rFonts w:ascii="宋体" w:hAnsi="宋体"/>
                <w:szCs w:val="21"/>
              </w:rPr>
              <w:t>学院共建指数</w:t>
            </w:r>
          </w:p>
        </w:tc>
        <w:tc>
          <w:tcPr>
            <w:tcW w:w="993" w:type="dxa"/>
            <w:vAlign w:val="center"/>
          </w:tcPr>
          <w:p w:rsidR="000D0E99" w:rsidRPr="00DB5766" w:rsidRDefault="000D0E99" w:rsidP="00983A92">
            <w:pPr>
              <w:spacing w:line="420" w:lineRule="exact"/>
              <w:jc w:val="center"/>
              <w:rPr>
                <w:rFonts w:ascii="宋体" w:hAnsi="宋体" w:cs="宋体"/>
                <w:bCs/>
                <w:color w:val="1E1C11"/>
                <w:szCs w:val="21"/>
              </w:rPr>
            </w:pPr>
            <w:r>
              <w:rPr>
                <w:rFonts w:ascii="宋体" w:hAnsi="宋体" w:cs="宋体"/>
                <w:bCs/>
                <w:color w:val="1E1C11"/>
                <w:szCs w:val="21"/>
              </w:rPr>
              <w:t>10</w:t>
            </w:r>
            <w:r w:rsidRPr="00DB5766">
              <w:rPr>
                <w:rFonts w:ascii="宋体" w:hAnsi="宋体" w:cs="宋体" w:hint="eastAsia"/>
                <w:bCs/>
                <w:color w:val="1E1C11"/>
                <w:szCs w:val="21"/>
              </w:rPr>
              <w:t>分</w:t>
            </w:r>
          </w:p>
        </w:tc>
        <w:tc>
          <w:tcPr>
            <w:tcW w:w="6066" w:type="dxa"/>
            <w:vAlign w:val="center"/>
          </w:tcPr>
          <w:p w:rsidR="000D0E99" w:rsidRPr="00DB5766" w:rsidRDefault="000D0E99" w:rsidP="00983A92">
            <w:pPr>
              <w:spacing w:line="420" w:lineRule="exact"/>
              <w:rPr>
                <w:rFonts w:ascii="宋体" w:hAnsi="宋体" w:cs="宋体"/>
                <w:bCs/>
                <w:color w:val="1E1C11"/>
                <w:szCs w:val="21"/>
              </w:rPr>
            </w:pPr>
            <w:r w:rsidRPr="00DB5766">
              <w:rPr>
                <w:rFonts w:ascii="宋体" w:hAnsi="宋体" w:cs="宋体" w:hint="eastAsia"/>
                <w:color w:val="1E1C11"/>
                <w:szCs w:val="21"/>
              </w:rPr>
              <w:t>每月统计各院共建指数，按照分数排名赋分。排名第一计</w:t>
            </w:r>
            <w:r>
              <w:rPr>
                <w:rFonts w:ascii="宋体" w:hAnsi="宋体" w:cs="宋体"/>
                <w:color w:val="1E1C11"/>
                <w:szCs w:val="21"/>
              </w:rPr>
              <w:t>10</w:t>
            </w:r>
            <w:r w:rsidRPr="00DB5766">
              <w:rPr>
                <w:rFonts w:ascii="宋体" w:hAnsi="宋体" w:cs="宋体" w:hint="eastAsia"/>
                <w:color w:val="1E1C11"/>
                <w:szCs w:val="21"/>
              </w:rPr>
              <w:t>分，按名次递减</w:t>
            </w:r>
            <w:r>
              <w:rPr>
                <w:rFonts w:ascii="宋体" w:hAnsi="宋体" w:cs="宋体"/>
                <w:color w:val="1E1C11"/>
                <w:szCs w:val="21"/>
              </w:rPr>
              <w:t>0.5</w:t>
            </w:r>
            <w:r w:rsidRPr="00DB5766">
              <w:rPr>
                <w:rFonts w:ascii="宋体" w:hAnsi="宋体" w:cs="宋体" w:hint="eastAsia"/>
                <w:color w:val="1E1C11"/>
                <w:szCs w:val="21"/>
              </w:rPr>
              <w:t>分赋分。</w:t>
            </w:r>
          </w:p>
        </w:tc>
      </w:tr>
      <w:tr w:rsidR="000D0E99" w:rsidRPr="00C52B9C" w:rsidTr="00983A92">
        <w:trPr>
          <w:trHeight w:val="705"/>
        </w:trPr>
        <w:tc>
          <w:tcPr>
            <w:tcW w:w="1696" w:type="dxa"/>
            <w:vAlign w:val="center"/>
          </w:tcPr>
          <w:p w:rsidR="000D0E99" w:rsidRPr="00DB5766" w:rsidRDefault="000D0E99" w:rsidP="00983A92">
            <w:pPr>
              <w:spacing w:line="420" w:lineRule="exact"/>
              <w:rPr>
                <w:rFonts w:ascii="宋体" w:hAnsi="宋体" w:cs="宋体"/>
                <w:bCs/>
                <w:color w:val="1E1C11"/>
                <w:szCs w:val="21"/>
              </w:rPr>
            </w:pPr>
            <w:r w:rsidRPr="00DB5766">
              <w:rPr>
                <w:rFonts w:ascii="宋体" w:hAnsi="宋体" w:cs="宋体"/>
                <w:bCs/>
                <w:color w:val="1E1C11"/>
                <w:szCs w:val="21"/>
              </w:rPr>
              <w:t>学院活跃指数</w:t>
            </w:r>
          </w:p>
        </w:tc>
        <w:tc>
          <w:tcPr>
            <w:tcW w:w="993" w:type="dxa"/>
            <w:vAlign w:val="center"/>
          </w:tcPr>
          <w:p w:rsidR="000D0E99" w:rsidRPr="00DB5766" w:rsidRDefault="000D0E99" w:rsidP="00983A92">
            <w:pPr>
              <w:spacing w:line="420" w:lineRule="exact"/>
              <w:jc w:val="center"/>
              <w:rPr>
                <w:rFonts w:ascii="宋体" w:hAnsi="宋体" w:cs="宋体"/>
                <w:bCs/>
                <w:color w:val="1E1C11"/>
                <w:szCs w:val="21"/>
              </w:rPr>
            </w:pPr>
            <w:r>
              <w:rPr>
                <w:rFonts w:ascii="宋体" w:hAnsi="宋体" w:cs="宋体"/>
                <w:bCs/>
                <w:color w:val="1E1C11"/>
                <w:szCs w:val="21"/>
              </w:rPr>
              <w:t>10</w:t>
            </w:r>
            <w:r w:rsidRPr="00DB5766">
              <w:rPr>
                <w:rFonts w:ascii="宋体" w:hAnsi="宋体" w:cs="宋体" w:hint="eastAsia"/>
                <w:bCs/>
                <w:color w:val="1E1C11"/>
                <w:szCs w:val="21"/>
              </w:rPr>
              <w:t>分</w:t>
            </w:r>
          </w:p>
        </w:tc>
        <w:tc>
          <w:tcPr>
            <w:tcW w:w="6066" w:type="dxa"/>
            <w:vAlign w:val="center"/>
          </w:tcPr>
          <w:p w:rsidR="000D0E99" w:rsidRPr="00DB5766" w:rsidRDefault="000D0E99" w:rsidP="00983A92">
            <w:pPr>
              <w:spacing w:line="420" w:lineRule="exact"/>
              <w:rPr>
                <w:rFonts w:ascii="宋体" w:hAnsi="宋体" w:cs="宋体"/>
                <w:bCs/>
                <w:color w:val="1E1C11"/>
                <w:szCs w:val="21"/>
              </w:rPr>
            </w:pPr>
            <w:r w:rsidRPr="00DB5766">
              <w:rPr>
                <w:rFonts w:ascii="宋体" w:hAnsi="宋体" w:cs="宋体" w:hint="eastAsia"/>
                <w:color w:val="1E1C11"/>
                <w:szCs w:val="21"/>
              </w:rPr>
              <w:t>每月统计各院活跃指数，按照排名赋分。排名第一计</w:t>
            </w:r>
            <w:r>
              <w:rPr>
                <w:rFonts w:ascii="宋体" w:hAnsi="宋体" w:cs="宋体"/>
                <w:color w:val="1E1C11"/>
                <w:szCs w:val="21"/>
              </w:rPr>
              <w:t>10</w:t>
            </w:r>
            <w:r w:rsidRPr="00DB5766">
              <w:rPr>
                <w:rFonts w:ascii="宋体" w:hAnsi="宋体" w:cs="宋体" w:hint="eastAsia"/>
                <w:color w:val="1E1C11"/>
                <w:szCs w:val="21"/>
              </w:rPr>
              <w:t>分，按名次递减</w:t>
            </w:r>
            <w:r>
              <w:rPr>
                <w:rFonts w:ascii="宋体" w:hAnsi="宋体" w:cs="宋体"/>
                <w:color w:val="1E1C11"/>
                <w:szCs w:val="21"/>
              </w:rPr>
              <w:t>0.5</w:t>
            </w:r>
            <w:r w:rsidRPr="00DB5766">
              <w:rPr>
                <w:rFonts w:ascii="宋体" w:hAnsi="宋体" w:cs="宋体" w:hint="eastAsia"/>
                <w:color w:val="1E1C11"/>
                <w:szCs w:val="21"/>
              </w:rPr>
              <w:t>分赋分。</w:t>
            </w:r>
          </w:p>
        </w:tc>
      </w:tr>
      <w:tr w:rsidR="000D0E99" w:rsidRPr="00C52B9C" w:rsidTr="00983A92">
        <w:trPr>
          <w:trHeight w:val="1836"/>
        </w:trPr>
        <w:tc>
          <w:tcPr>
            <w:tcW w:w="1696" w:type="dxa"/>
            <w:vAlign w:val="center"/>
          </w:tcPr>
          <w:p w:rsidR="000D0E99" w:rsidRPr="00DB5766" w:rsidRDefault="000D0E99" w:rsidP="00983A92">
            <w:pPr>
              <w:spacing w:line="420" w:lineRule="exact"/>
              <w:jc w:val="center"/>
              <w:rPr>
                <w:rFonts w:ascii="宋体" w:hAnsi="宋体" w:cs="宋体"/>
                <w:bCs/>
                <w:color w:val="1E1C11"/>
                <w:szCs w:val="21"/>
              </w:rPr>
            </w:pPr>
            <w:proofErr w:type="gramStart"/>
            <w:r w:rsidRPr="00DB5766">
              <w:rPr>
                <w:rFonts w:ascii="宋体" w:hAnsi="宋体" w:cs="宋体" w:hint="eastAsia"/>
                <w:bCs/>
                <w:color w:val="1E1C11"/>
                <w:szCs w:val="21"/>
              </w:rPr>
              <w:t>推文投稿</w:t>
            </w:r>
            <w:proofErr w:type="gramEnd"/>
          </w:p>
        </w:tc>
        <w:tc>
          <w:tcPr>
            <w:tcW w:w="993" w:type="dxa"/>
            <w:vAlign w:val="center"/>
          </w:tcPr>
          <w:p w:rsidR="000D0E99" w:rsidRPr="00DB5766" w:rsidRDefault="000D0E99" w:rsidP="00983A92">
            <w:pPr>
              <w:spacing w:line="420" w:lineRule="exact"/>
              <w:jc w:val="center"/>
              <w:rPr>
                <w:rFonts w:ascii="宋体" w:hAnsi="宋体" w:cs="宋体"/>
                <w:bCs/>
                <w:color w:val="1E1C11"/>
                <w:szCs w:val="21"/>
              </w:rPr>
            </w:pPr>
            <w:r>
              <w:rPr>
                <w:rFonts w:ascii="宋体" w:hAnsi="宋体" w:cs="宋体"/>
                <w:bCs/>
                <w:color w:val="1E1C11"/>
                <w:szCs w:val="21"/>
              </w:rPr>
              <w:t>25</w:t>
            </w:r>
            <w:r w:rsidRPr="00DB5766">
              <w:rPr>
                <w:rFonts w:ascii="宋体" w:hAnsi="宋体" w:cs="宋体" w:hint="eastAsia"/>
                <w:bCs/>
                <w:color w:val="1E1C11"/>
                <w:szCs w:val="21"/>
              </w:rPr>
              <w:t>分</w:t>
            </w:r>
          </w:p>
        </w:tc>
        <w:tc>
          <w:tcPr>
            <w:tcW w:w="6066" w:type="dxa"/>
            <w:vAlign w:val="center"/>
          </w:tcPr>
          <w:p w:rsidR="000D0E99" w:rsidRPr="00DB5766" w:rsidRDefault="000D0E99" w:rsidP="00983A92">
            <w:pPr>
              <w:spacing w:line="420" w:lineRule="exact"/>
              <w:rPr>
                <w:rFonts w:ascii="宋体" w:hAnsi="宋体" w:cs="宋体"/>
                <w:color w:val="1E1C11"/>
                <w:szCs w:val="21"/>
              </w:rPr>
            </w:pPr>
            <w:r w:rsidRPr="00DB5766">
              <w:rPr>
                <w:rFonts w:ascii="宋体" w:hAnsi="宋体" w:cs="宋体" w:hint="eastAsia"/>
                <w:color w:val="1E1C11"/>
                <w:szCs w:val="21"/>
              </w:rPr>
              <w:t>1.经审核发表在机构号主页的推文，</w:t>
            </w:r>
            <w:proofErr w:type="gramStart"/>
            <w:r w:rsidRPr="00DB5766">
              <w:rPr>
                <w:rFonts w:ascii="宋体" w:hAnsi="宋体" w:cs="宋体" w:hint="eastAsia"/>
                <w:color w:val="1E1C11"/>
                <w:szCs w:val="21"/>
              </w:rPr>
              <w:t>推文总分</w:t>
            </w:r>
            <w:proofErr w:type="gramEnd"/>
            <w:r w:rsidRPr="00DB5766">
              <w:rPr>
                <w:rFonts w:ascii="宋体" w:hAnsi="宋体" w:cs="宋体" w:hint="eastAsia"/>
                <w:color w:val="1E1C11"/>
                <w:szCs w:val="21"/>
              </w:rPr>
              <w:t>为基础分1.0+0.0</w:t>
            </w:r>
            <w:r w:rsidRPr="00DB5766">
              <w:rPr>
                <w:rFonts w:ascii="宋体" w:hAnsi="宋体" w:cs="宋体"/>
                <w:color w:val="1E1C11"/>
                <w:szCs w:val="21"/>
              </w:rPr>
              <w:t>1</w:t>
            </w:r>
            <w:r w:rsidRPr="00DB5766">
              <w:rPr>
                <w:rFonts w:ascii="宋体" w:hAnsi="宋体" w:cs="宋体" w:hint="eastAsia"/>
                <w:color w:val="1E1C11"/>
                <w:szCs w:val="21"/>
              </w:rPr>
              <w:t>*浏览量+</w:t>
            </w:r>
            <w:r w:rsidRPr="00DB5766">
              <w:rPr>
                <w:rFonts w:ascii="宋体" w:hAnsi="宋体" w:cs="宋体"/>
                <w:color w:val="1E1C11"/>
                <w:szCs w:val="21"/>
              </w:rPr>
              <w:t>0.02*</w:t>
            </w:r>
            <w:r w:rsidRPr="00DB5766">
              <w:rPr>
                <w:rFonts w:ascii="宋体" w:hAnsi="宋体" w:cs="宋体" w:hint="eastAsia"/>
                <w:color w:val="1E1C11"/>
                <w:szCs w:val="21"/>
              </w:rPr>
              <w:t>评论量</w:t>
            </w:r>
            <w:r>
              <w:rPr>
                <w:rFonts w:ascii="宋体" w:hAnsi="宋体" w:cs="宋体" w:hint="eastAsia"/>
                <w:color w:val="1E1C11"/>
                <w:szCs w:val="21"/>
              </w:rPr>
              <w:t>。</w:t>
            </w:r>
          </w:p>
          <w:p w:rsidR="000D0E99" w:rsidRPr="00DB5766" w:rsidRDefault="000D0E99" w:rsidP="00983A92">
            <w:pPr>
              <w:spacing w:line="420" w:lineRule="exact"/>
              <w:rPr>
                <w:rFonts w:ascii="宋体" w:hAnsi="宋体" w:cs="宋体"/>
                <w:color w:val="1E1C11"/>
                <w:szCs w:val="21"/>
              </w:rPr>
            </w:pPr>
            <w:r w:rsidRPr="00DB5766">
              <w:rPr>
                <w:rFonts w:ascii="宋体" w:hAnsi="宋体" w:cs="宋体" w:hint="eastAsia"/>
                <w:color w:val="1E1C11"/>
                <w:szCs w:val="21"/>
              </w:rPr>
              <w:t>2.投稿发布在易班网首页的推文，</w:t>
            </w:r>
            <w:proofErr w:type="gramStart"/>
            <w:r w:rsidRPr="00DB5766">
              <w:rPr>
                <w:rFonts w:ascii="宋体" w:hAnsi="宋体" w:cs="宋体" w:hint="eastAsia"/>
                <w:color w:val="1E1C11"/>
                <w:szCs w:val="21"/>
              </w:rPr>
              <w:t>推文总分</w:t>
            </w:r>
            <w:proofErr w:type="gramEnd"/>
            <w:r w:rsidRPr="00DB5766">
              <w:rPr>
                <w:rFonts w:ascii="宋体" w:hAnsi="宋体" w:cs="宋体" w:hint="eastAsia"/>
                <w:color w:val="1E1C11"/>
                <w:szCs w:val="21"/>
              </w:rPr>
              <w:t>为基础分</w:t>
            </w:r>
            <w:r w:rsidRPr="00DB5766">
              <w:rPr>
                <w:rFonts w:ascii="宋体" w:hAnsi="宋体" w:cs="宋体"/>
                <w:color w:val="1E1C11"/>
                <w:szCs w:val="21"/>
              </w:rPr>
              <w:t>5.0</w:t>
            </w:r>
            <w:r w:rsidRPr="00DB5766">
              <w:rPr>
                <w:rFonts w:ascii="宋体" w:hAnsi="宋体" w:cs="宋体" w:hint="eastAsia"/>
                <w:color w:val="1E1C11"/>
                <w:szCs w:val="21"/>
              </w:rPr>
              <w:t>+0.0</w:t>
            </w:r>
            <w:r w:rsidRPr="00DB5766">
              <w:rPr>
                <w:rFonts w:ascii="宋体" w:hAnsi="宋体" w:cs="宋体"/>
                <w:color w:val="1E1C11"/>
                <w:szCs w:val="21"/>
              </w:rPr>
              <w:t>1</w:t>
            </w:r>
            <w:r w:rsidRPr="00DB5766">
              <w:rPr>
                <w:rFonts w:ascii="宋体" w:hAnsi="宋体" w:cs="宋体" w:hint="eastAsia"/>
                <w:color w:val="1E1C11"/>
                <w:szCs w:val="21"/>
              </w:rPr>
              <w:t>*浏览量+</w:t>
            </w:r>
            <w:r w:rsidRPr="00DB5766">
              <w:rPr>
                <w:rFonts w:ascii="宋体" w:hAnsi="宋体" w:cs="宋体"/>
                <w:color w:val="1E1C11"/>
                <w:szCs w:val="21"/>
              </w:rPr>
              <w:t>0.02*</w:t>
            </w:r>
            <w:r w:rsidRPr="00DB5766">
              <w:rPr>
                <w:rFonts w:ascii="宋体" w:hAnsi="宋体" w:cs="宋体" w:hint="eastAsia"/>
                <w:color w:val="1E1C11"/>
                <w:szCs w:val="21"/>
              </w:rPr>
              <w:t>评论量</w:t>
            </w:r>
            <w:r>
              <w:rPr>
                <w:rFonts w:ascii="宋体" w:hAnsi="宋体" w:cs="宋体" w:hint="eastAsia"/>
                <w:color w:val="1E1C11"/>
                <w:szCs w:val="21"/>
              </w:rPr>
              <w:t>。</w:t>
            </w:r>
          </w:p>
          <w:p w:rsidR="000D0E99" w:rsidRPr="00DB5766" w:rsidRDefault="000D0E99" w:rsidP="00983A92">
            <w:pPr>
              <w:spacing w:line="420" w:lineRule="exact"/>
              <w:rPr>
                <w:rFonts w:ascii="宋体" w:hAnsi="宋体" w:cs="宋体"/>
                <w:bCs/>
                <w:color w:val="1E1C11"/>
                <w:szCs w:val="21"/>
              </w:rPr>
            </w:pPr>
            <w:r w:rsidRPr="00DB5766">
              <w:rPr>
                <w:rFonts w:ascii="宋体" w:hAnsi="宋体" w:cs="宋体"/>
                <w:color w:val="1E1C11"/>
                <w:szCs w:val="21"/>
              </w:rPr>
              <w:t>排名第一计</w:t>
            </w:r>
            <w:r>
              <w:rPr>
                <w:rFonts w:ascii="宋体" w:hAnsi="宋体" w:cs="宋体"/>
                <w:color w:val="1E1C11"/>
                <w:szCs w:val="21"/>
              </w:rPr>
              <w:t>25</w:t>
            </w:r>
            <w:r w:rsidRPr="00DB5766">
              <w:rPr>
                <w:rFonts w:ascii="宋体" w:hAnsi="宋体" w:cs="宋体" w:hint="eastAsia"/>
                <w:color w:val="1E1C11"/>
                <w:szCs w:val="21"/>
              </w:rPr>
              <w:t>分，按名次递减</w:t>
            </w:r>
            <w:r w:rsidRPr="00DB5766">
              <w:rPr>
                <w:rFonts w:ascii="宋体" w:hAnsi="宋体" w:cs="宋体"/>
                <w:color w:val="1E1C11"/>
                <w:szCs w:val="21"/>
              </w:rPr>
              <w:t>1</w:t>
            </w:r>
            <w:r w:rsidRPr="00DB5766">
              <w:rPr>
                <w:rFonts w:ascii="宋体" w:hAnsi="宋体" w:cs="宋体" w:hint="eastAsia"/>
                <w:color w:val="1E1C11"/>
                <w:szCs w:val="21"/>
              </w:rPr>
              <w:t>分赋分。</w:t>
            </w:r>
          </w:p>
        </w:tc>
      </w:tr>
      <w:tr w:rsidR="000D0E99" w:rsidRPr="00C52B9C" w:rsidTr="00983A92">
        <w:trPr>
          <w:trHeight w:val="2004"/>
        </w:trPr>
        <w:tc>
          <w:tcPr>
            <w:tcW w:w="1696" w:type="dxa"/>
            <w:vAlign w:val="center"/>
          </w:tcPr>
          <w:p w:rsidR="000D0E99" w:rsidRPr="00DB5766" w:rsidRDefault="000D0E99" w:rsidP="00983A92">
            <w:pPr>
              <w:jc w:val="center"/>
              <w:rPr>
                <w:szCs w:val="21"/>
              </w:rPr>
            </w:pPr>
            <w:proofErr w:type="gramStart"/>
            <w:r w:rsidRPr="00DB5766">
              <w:rPr>
                <w:rFonts w:hint="eastAsia"/>
                <w:szCs w:val="21"/>
              </w:rPr>
              <w:t>优课活跃</w:t>
            </w:r>
            <w:proofErr w:type="gramEnd"/>
            <w:r w:rsidRPr="00DB5766">
              <w:rPr>
                <w:rFonts w:hint="eastAsia"/>
                <w:szCs w:val="21"/>
              </w:rPr>
              <w:t>度</w:t>
            </w:r>
          </w:p>
        </w:tc>
        <w:tc>
          <w:tcPr>
            <w:tcW w:w="993" w:type="dxa"/>
            <w:vAlign w:val="center"/>
          </w:tcPr>
          <w:p w:rsidR="000D0E99" w:rsidRPr="00DB5766" w:rsidRDefault="000D0E99" w:rsidP="00983A92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15</w:t>
            </w:r>
            <w:r w:rsidRPr="00DB5766">
              <w:rPr>
                <w:rFonts w:hint="eastAsia"/>
                <w:szCs w:val="21"/>
              </w:rPr>
              <w:t>分</w:t>
            </w:r>
          </w:p>
        </w:tc>
        <w:tc>
          <w:tcPr>
            <w:tcW w:w="6066" w:type="dxa"/>
            <w:vAlign w:val="center"/>
          </w:tcPr>
          <w:p w:rsidR="000D0E99" w:rsidRPr="00DB5766" w:rsidRDefault="000D0E99" w:rsidP="00983A92">
            <w:pPr>
              <w:spacing w:line="420" w:lineRule="exact"/>
              <w:rPr>
                <w:szCs w:val="21"/>
              </w:rPr>
            </w:pPr>
            <w:r w:rsidRPr="00DB5766">
              <w:rPr>
                <w:rFonts w:hint="eastAsia"/>
                <w:szCs w:val="21"/>
              </w:rPr>
              <w:t>院部要充分</w:t>
            </w:r>
            <w:proofErr w:type="gramStart"/>
            <w:r w:rsidRPr="00DB5766">
              <w:rPr>
                <w:rFonts w:hint="eastAsia"/>
                <w:szCs w:val="21"/>
              </w:rPr>
              <w:t>利用优课平台</w:t>
            </w:r>
            <w:proofErr w:type="gramEnd"/>
            <w:r w:rsidRPr="00DB5766">
              <w:rPr>
                <w:rFonts w:hint="eastAsia"/>
                <w:szCs w:val="21"/>
              </w:rPr>
              <w:t>结合大学生</w:t>
            </w:r>
            <w:r>
              <w:rPr>
                <w:rFonts w:hint="eastAsia"/>
                <w:szCs w:val="21"/>
              </w:rPr>
              <w:t>思想</w:t>
            </w:r>
            <w:r w:rsidRPr="00DB5766">
              <w:rPr>
                <w:rFonts w:hint="eastAsia"/>
                <w:szCs w:val="21"/>
              </w:rPr>
              <w:t>价值引领、党团建设、学风建设、安全管理、心理健康、职业生涯规划、</w:t>
            </w:r>
            <w:r>
              <w:rPr>
                <w:rFonts w:hint="eastAsia"/>
                <w:szCs w:val="21"/>
              </w:rPr>
              <w:t>就业</w:t>
            </w:r>
            <w:r w:rsidRPr="00DB5766">
              <w:rPr>
                <w:rFonts w:hint="eastAsia"/>
                <w:szCs w:val="21"/>
              </w:rPr>
              <w:t>创业等开展活动，院部每月</w:t>
            </w:r>
            <w:proofErr w:type="gramStart"/>
            <w:r w:rsidRPr="00DB5766">
              <w:rPr>
                <w:rFonts w:hint="eastAsia"/>
                <w:szCs w:val="21"/>
              </w:rPr>
              <w:t>所开优课课程</w:t>
            </w:r>
            <w:proofErr w:type="gramEnd"/>
            <w:r w:rsidRPr="00DB5766">
              <w:rPr>
                <w:rFonts w:hint="eastAsia"/>
                <w:szCs w:val="21"/>
              </w:rPr>
              <w:t>应不低于</w:t>
            </w:r>
            <w:r w:rsidRPr="00DB5766"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个</w:t>
            </w:r>
            <w:r w:rsidRPr="00DB5766">
              <w:rPr>
                <w:rFonts w:hint="eastAsia"/>
                <w:szCs w:val="21"/>
              </w:rPr>
              <w:t>，院部每月按时</w:t>
            </w:r>
            <w:proofErr w:type="gramStart"/>
            <w:r w:rsidRPr="00DB5766">
              <w:rPr>
                <w:rFonts w:hint="eastAsia"/>
                <w:szCs w:val="21"/>
              </w:rPr>
              <w:t>报送优课课程</w:t>
            </w:r>
            <w:proofErr w:type="gramEnd"/>
            <w:r w:rsidRPr="00DB5766">
              <w:rPr>
                <w:rFonts w:hint="eastAsia"/>
                <w:szCs w:val="21"/>
              </w:rPr>
              <w:t>名称，校易班发展中心统计课程活跃度，跨月活动可以多次报送，但只计算本月活跃度，按照课程活跃度</w:t>
            </w:r>
            <w:r w:rsidRPr="00DB5766">
              <w:rPr>
                <w:rFonts w:ascii="宋体" w:hAnsi="宋体" w:cs="宋体" w:hint="eastAsia"/>
                <w:color w:val="1E1C11"/>
                <w:szCs w:val="21"/>
              </w:rPr>
              <w:t>排名</w:t>
            </w:r>
            <w:r w:rsidRPr="00DB5766">
              <w:rPr>
                <w:rFonts w:hint="eastAsia"/>
                <w:szCs w:val="21"/>
              </w:rPr>
              <w:t>赋分。排名第一计</w:t>
            </w:r>
            <w:r>
              <w:rPr>
                <w:szCs w:val="21"/>
              </w:rPr>
              <w:t>15</w:t>
            </w:r>
            <w:r w:rsidRPr="00DB5766">
              <w:rPr>
                <w:rFonts w:hint="eastAsia"/>
                <w:szCs w:val="21"/>
              </w:rPr>
              <w:t>分，按名次递减</w:t>
            </w:r>
            <w:r>
              <w:rPr>
                <w:szCs w:val="21"/>
              </w:rPr>
              <w:t>0.5</w:t>
            </w:r>
            <w:r w:rsidRPr="00DB5766">
              <w:rPr>
                <w:rFonts w:hint="eastAsia"/>
                <w:szCs w:val="21"/>
              </w:rPr>
              <w:t>分赋分。</w:t>
            </w:r>
          </w:p>
        </w:tc>
      </w:tr>
      <w:tr w:rsidR="000D0E99" w:rsidRPr="00C52B9C" w:rsidTr="00983A92">
        <w:trPr>
          <w:trHeight w:val="2157"/>
        </w:trPr>
        <w:tc>
          <w:tcPr>
            <w:tcW w:w="1696" w:type="dxa"/>
            <w:vAlign w:val="center"/>
          </w:tcPr>
          <w:p w:rsidR="000D0E99" w:rsidRPr="00DB5766" w:rsidRDefault="000D0E99" w:rsidP="00983A92">
            <w:pPr>
              <w:spacing w:line="420" w:lineRule="exact"/>
              <w:jc w:val="center"/>
              <w:rPr>
                <w:rFonts w:ascii="宋体" w:hAnsi="宋体" w:cs="宋体"/>
                <w:bCs/>
                <w:color w:val="1E1C11"/>
                <w:szCs w:val="21"/>
              </w:rPr>
            </w:pPr>
            <w:proofErr w:type="gramStart"/>
            <w:r w:rsidRPr="00DB5766">
              <w:rPr>
                <w:rFonts w:ascii="宋体" w:hAnsi="宋体" w:cs="宋体" w:hint="eastAsia"/>
                <w:bCs/>
                <w:color w:val="1E1C11"/>
                <w:szCs w:val="21"/>
              </w:rPr>
              <w:t>轻应用快搭</w:t>
            </w:r>
            <w:proofErr w:type="gramEnd"/>
          </w:p>
        </w:tc>
        <w:tc>
          <w:tcPr>
            <w:tcW w:w="993" w:type="dxa"/>
            <w:vAlign w:val="center"/>
          </w:tcPr>
          <w:p w:rsidR="000D0E99" w:rsidRPr="00DB5766" w:rsidRDefault="000D0E99" w:rsidP="00983A92">
            <w:pPr>
              <w:spacing w:line="420" w:lineRule="exact"/>
              <w:jc w:val="center"/>
              <w:rPr>
                <w:rFonts w:ascii="宋体" w:hAnsi="宋体" w:cs="宋体"/>
                <w:bCs/>
                <w:color w:val="1E1C11"/>
                <w:szCs w:val="21"/>
              </w:rPr>
            </w:pPr>
            <w:r>
              <w:rPr>
                <w:rFonts w:ascii="宋体" w:hAnsi="宋体" w:cs="宋体"/>
                <w:bCs/>
                <w:color w:val="1E1C11"/>
                <w:szCs w:val="21"/>
              </w:rPr>
              <w:t>15</w:t>
            </w:r>
            <w:r w:rsidRPr="00DB5766">
              <w:rPr>
                <w:rFonts w:ascii="宋体" w:hAnsi="宋体" w:cs="宋体" w:hint="eastAsia"/>
                <w:bCs/>
                <w:color w:val="1E1C11"/>
                <w:szCs w:val="21"/>
              </w:rPr>
              <w:t>分</w:t>
            </w:r>
          </w:p>
        </w:tc>
        <w:tc>
          <w:tcPr>
            <w:tcW w:w="6066" w:type="dxa"/>
            <w:vAlign w:val="center"/>
          </w:tcPr>
          <w:p w:rsidR="000D0E99" w:rsidRPr="00DB5766" w:rsidRDefault="000D0E99" w:rsidP="00983A92">
            <w:pPr>
              <w:spacing w:line="420" w:lineRule="exact"/>
              <w:rPr>
                <w:rFonts w:ascii="宋体" w:hAnsi="宋体" w:cs="宋体"/>
                <w:bCs/>
                <w:color w:val="1E1C11"/>
                <w:szCs w:val="21"/>
              </w:rPr>
            </w:pPr>
            <w:r w:rsidRPr="00DB5766">
              <w:rPr>
                <w:rFonts w:ascii="宋体" w:hAnsi="宋体" w:cs="宋体" w:hint="eastAsia"/>
                <w:bCs/>
                <w:color w:val="1E1C11"/>
                <w:szCs w:val="21"/>
              </w:rPr>
              <w:t>院部要充分利用</w:t>
            </w:r>
            <w:proofErr w:type="gramStart"/>
            <w:r w:rsidRPr="00DB5766">
              <w:rPr>
                <w:rFonts w:ascii="宋体" w:hAnsi="宋体" w:cs="宋体" w:hint="eastAsia"/>
                <w:bCs/>
                <w:color w:val="1E1C11"/>
                <w:szCs w:val="21"/>
              </w:rPr>
              <w:t>轻应用快搭以</w:t>
            </w:r>
            <w:proofErr w:type="gramEnd"/>
            <w:r w:rsidRPr="00DB5766">
              <w:rPr>
                <w:rFonts w:ascii="宋体" w:hAnsi="宋体" w:cs="宋体" w:hint="eastAsia"/>
                <w:bCs/>
                <w:color w:val="1E1C11"/>
                <w:szCs w:val="21"/>
              </w:rPr>
              <w:t>学生喜爱的方式开展网上思想政治教育活动，院部每月制作使用的</w:t>
            </w:r>
            <w:proofErr w:type="gramStart"/>
            <w:r w:rsidRPr="00DB5766">
              <w:rPr>
                <w:rFonts w:ascii="宋体" w:hAnsi="宋体" w:cs="宋体" w:hint="eastAsia"/>
                <w:bCs/>
                <w:color w:val="1E1C11"/>
                <w:szCs w:val="21"/>
              </w:rPr>
              <w:t>轻应用快搭应</w:t>
            </w:r>
            <w:proofErr w:type="gramEnd"/>
            <w:r w:rsidRPr="00DB5766">
              <w:rPr>
                <w:rFonts w:ascii="宋体" w:hAnsi="宋体" w:cs="宋体" w:hint="eastAsia"/>
                <w:bCs/>
                <w:color w:val="1E1C11"/>
                <w:szCs w:val="21"/>
              </w:rPr>
              <w:t>不低于2个，院部每月按时报送</w:t>
            </w:r>
            <w:proofErr w:type="gramStart"/>
            <w:r w:rsidRPr="00DB5766">
              <w:rPr>
                <w:rFonts w:ascii="宋体" w:hAnsi="宋体" w:cs="宋体" w:hint="eastAsia"/>
                <w:bCs/>
                <w:color w:val="1E1C11"/>
                <w:szCs w:val="21"/>
              </w:rPr>
              <w:t>轻应用快搭</w:t>
            </w:r>
            <w:proofErr w:type="gramEnd"/>
            <w:r w:rsidRPr="00DB5766">
              <w:rPr>
                <w:rFonts w:ascii="宋体" w:hAnsi="宋体" w:cs="宋体" w:hint="eastAsia"/>
                <w:bCs/>
                <w:color w:val="1E1C11"/>
                <w:szCs w:val="21"/>
              </w:rPr>
              <w:t>名称，校易班发展中心统计其</w:t>
            </w:r>
            <w:r w:rsidRPr="00DB5766">
              <w:rPr>
                <w:rFonts w:ascii="宋体" w:hAnsi="宋体" w:cs="宋体"/>
                <w:bCs/>
                <w:color w:val="1E1C11"/>
                <w:szCs w:val="21"/>
              </w:rPr>
              <w:t>PV(</w:t>
            </w:r>
            <w:r w:rsidRPr="00DB5766">
              <w:rPr>
                <w:rFonts w:ascii="宋体" w:hAnsi="宋体" w:cs="宋体" w:hint="eastAsia"/>
                <w:bCs/>
                <w:color w:val="1E1C11"/>
                <w:szCs w:val="21"/>
              </w:rPr>
              <w:t>页面浏览量)和U</w:t>
            </w:r>
            <w:r w:rsidRPr="00DB5766">
              <w:rPr>
                <w:rFonts w:ascii="宋体" w:hAnsi="宋体" w:cs="宋体"/>
                <w:bCs/>
                <w:color w:val="1E1C11"/>
                <w:szCs w:val="21"/>
              </w:rPr>
              <w:t>V(</w:t>
            </w:r>
            <w:r w:rsidRPr="00DB5766">
              <w:rPr>
                <w:rFonts w:ascii="宋体" w:hAnsi="宋体" w:cs="宋体" w:hint="eastAsia"/>
                <w:bCs/>
                <w:color w:val="1E1C11"/>
                <w:szCs w:val="21"/>
              </w:rPr>
              <w:t>独立访客)，按照：U</w:t>
            </w:r>
            <w:r w:rsidRPr="00DB5766">
              <w:rPr>
                <w:rFonts w:ascii="宋体" w:hAnsi="宋体" w:cs="宋体"/>
                <w:bCs/>
                <w:color w:val="1E1C11"/>
                <w:szCs w:val="21"/>
              </w:rPr>
              <w:t>V+</w:t>
            </w:r>
            <w:r w:rsidRPr="00DB5766">
              <w:rPr>
                <w:rFonts w:ascii="宋体" w:hAnsi="宋体" w:cs="宋体" w:hint="eastAsia"/>
                <w:bCs/>
                <w:color w:val="1E1C11"/>
                <w:szCs w:val="21"/>
              </w:rPr>
              <w:t>0</w:t>
            </w:r>
            <w:r w:rsidRPr="00DB5766">
              <w:rPr>
                <w:rFonts w:ascii="宋体" w:hAnsi="宋体" w:cs="宋体"/>
                <w:bCs/>
                <w:color w:val="1E1C11"/>
                <w:szCs w:val="21"/>
              </w:rPr>
              <w:t xml:space="preserve">.5 </w:t>
            </w:r>
            <w:r w:rsidRPr="00DB5766">
              <w:rPr>
                <w:rFonts w:ascii="宋体" w:hAnsi="宋体" w:cs="宋体" w:hint="eastAsia"/>
                <w:bCs/>
                <w:color w:val="1E1C11"/>
                <w:szCs w:val="21"/>
              </w:rPr>
              <w:t>﹡</w:t>
            </w:r>
            <w:r w:rsidRPr="00DB5766">
              <w:rPr>
                <w:rFonts w:ascii="宋体" w:hAnsi="宋体" w:cs="宋体"/>
                <w:bCs/>
                <w:color w:val="1E1C11"/>
                <w:szCs w:val="21"/>
              </w:rPr>
              <w:t>(PV-UV</w:t>
            </w:r>
            <w:r w:rsidRPr="00DB5766">
              <w:rPr>
                <w:rFonts w:ascii="宋体" w:hAnsi="宋体" w:cs="宋体" w:hint="eastAsia"/>
                <w:bCs/>
                <w:color w:val="1E1C11"/>
                <w:szCs w:val="21"/>
              </w:rPr>
              <w:t>）。排名第一计</w:t>
            </w:r>
            <w:r>
              <w:rPr>
                <w:rFonts w:ascii="宋体" w:hAnsi="宋体" w:cs="宋体"/>
                <w:bCs/>
                <w:color w:val="1E1C11"/>
                <w:szCs w:val="21"/>
              </w:rPr>
              <w:t>1</w:t>
            </w:r>
            <w:r w:rsidRPr="00DB5766">
              <w:rPr>
                <w:rFonts w:ascii="宋体" w:hAnsi="宋体" w:cs="宋体" w:hint="eastAsia"/>
                <w:bCs/>
                <w:color w:val="1E1C11"/>
                <w:szCs w:val="21"/>
              </w:rPr>
              <w:t>0分，按名次递减</w:t>
            </w:r>
            <w:r>
              <w:rPr>
                <w:rFonts w:ascii="宋体" w:hAnsi="宋体" w:cs="宋体"/>
                <w:bCs/>
                <w:color w:val="1E1C11"/>
                <w:szCs w:val="21"/>
              </w:rPr>
              <w:t>0</w:t>
            </w:r>
            <w:r w:rsidRPr="00DB5766">
              <w:rPr>
                <w:rFonts w:ascii="宋体" w:hAnsi="宋体" w:cs="宋体" w:hint="eastAsia"/>
                <w:bCs/>
                <w:color w:val="1E1C11"/>
                <w:szCs w:val="21"/>
              </w:rPr>
              <w:t>.5</w:t>
            </w:r>
            <w:r>
              <w:rPr>
                <w:rFonts w:ascii="宋体" w:hAnsi="宋体" w:cs="宋体" w:hint="eastAsia"/>
                <w:bCs/>
                <w:color w:val="1E1C11"/>
                <w:szCs w:val="21"/>
              </w:rPr>
              <w:t>分赋分</w:t>
            </w:r>
            <w:r w:rsidRPr="00DB5766">
              <w:rPr>
                <w:rFonts w:ascii="宋体" w:hAnsi="宋体" w:cs="宋体" w:hint="eastAsia"/>
                <w:bCs/>
                <w:color w:val="1E1C11"/>
                <w:szCs w:val="21"/>
              </w:rPr>
              <w:t>。</w:t>
            </w:r>
            <w:r>
              <w:rPr>
                <w:rFonts w:ascii="宋体" w:hAnsi="宋体" w:cs="宋体" w:hint="eastAsia"/>
                <w:bCs/>
                <w:color w:val="1E1C11"/>
                <w:szCs w:val="21"/>
              </w:rPr>
              <w:t>每月进行</w:t>
            </w:r>
            <w:proofErr w:type="gramStart"/>
            <w:r>
              <w:rPr>
                <w:rFonts w:ascii="宋体" w:hAnsi="宋体" w:cs="宋体" w:hint="eastAsia"/>
                <w:bCs/>
                <w:color w:val="1E1C11"/>
                <w:szCs w:val="21"/>
              </w:rPr>
              <w:t>优秀快搭展示</w:t>
            </w:r>
            <w:proofErr w:type="gramEnd"/>
            <w:r>
              <w:rPr>
                <w:rFonts w:ascii="宋体" w:hAnsi="宋体" w:cs="宋体" w:hint="eastAsia"/>
                <w:bCs/>
                <w:color w:val="1E1C11"/>
                <w:szCs w:val="21"/>
              </w:rPr>
              <w:t>。</w:t>
            </w:r>
          </w:p>
        </w:tc>
      </w:tr>
      <w:tr w:rsidR="000D0E99" w:rsidRPr="00C52B9C" w:rsidTr="00983A92">
        <w:trPr>
          <w:trHeight w:val="1084"/>
        </w:trPr>
        <w:tc>
          <w:tcPr>
            <w:tcW w:w="1696" w:type="dxa"/>
            <w:vAlign w:val="center"/>
          </w:tcPr>
          <w:p w:rsidR="000D0E99" w:rsidRPr="00DB5766" w:rsidRDefault="000D0E99" w:rsidP="00983A92">
            <w:pPr>
              <w:spacing w:line="420" w:lineRule="exact"/>
              <w:jc w:val="center"/>
              <w:rPr>
                <w:rFonts w:ascii="宋体" w:hAnsi="宋体" w:cs="宋体"/>
                <w:color w:val="1E1C11"/>
                <w:szCs w:val="21"/>
              </w:rPr>
            </w:pPr>
            <w:r>
              <w:rPr>
                <w:rFonts w:ascii="宋体" w:hAnsi="宋体" w:cs="宋体" w:hint="eastAsia"/>
                <w:color w:val="1E1C11"/>
                <w:szCs w:val="21"/>
              </w:rPr>
              <w:t>十大主题教育月</w:t>
            </w:r>
            <w:r w:rsidRPr="00DB5766">
              <w:rPr>
                <w:rFonts w:ascii="宋体" w:hAnsi="宋体" w:cs="宋体" w:hint="eastAsia"/>
                <w:color w:val="1E1C11"/>
                <w:szCs w:val="21"/>
              </w:rPr>
              <w:t>活动</w:t>
            </w:r>
          </w:p>
        </w:tc>
        <w:tc>
          <w:tcPr>
            <w:tcW w:w="993" w:type="dxa"/>
            <w:vAlign w:val="center"/>
          </w:tcPr>
          <w:p w:rsidR="000D0E99" w:rsidRPr="00DB5766" w:rsidRDefault="000D0E99" w:rsidP="00983A92">
            <w:pPr>
              <w:spacing w:line="420" w:lineRule="exact"/>
              <w:jc w:val="center"/>
              <w:rPr>
                <w:rFonts w:ascii="宋体" w:hAnsi="宋体" w:cs="宋体"/>
                <w:bCs/>
                <w:color w:val="1E1C11"/>
                <w:szCs w:val="21"/>
              </w:rPr>
            </w:pPr>
            <w:r>
              <w:rPr>
                <w:rFonts w:ascii="宋体" w:hAnsi="宋体" w:cs="宋体"/>
                <w:bCs/>
                <w:color w:val="1E1C11"/>
                <w:szCs w:val="21"/>
              </w:rPr>
              <w:t>25</w:t>
            </w:r>
            <w:r w:rsidRPr="00DB5766">
              <w:rPr>
                <w:rFonts w:ascii="宋体" w:hAnsi="宋体" w:cs="宋体" w:hint="eastAsia"/>
                <w:bCs/>
                <w:color w:val="1E1C11"/>
                <w:szCs w:val="21"/>
              </w:rPr>
              <w:t>分</w:t>
            </w:r>
          </w:p>
        </w:tc>
        <w:tc>
          <w:tcPr>
            <w:tcW w:w="6066" w:type="dxa"/>
            <w:vAlign w:val="center"/>
          </w:tcPr>
          <w:p w:rsidR="000D0E99" w:rsidRPr="00DB5766" w:rsidRDefault="000D0E99" w:rsidP="00983A92">
            <w:pPr>
              <w:spacing w:line="420" w:lineRule="exact"/>
              <w:rPr>
                <w:rFonts w:ascii="宋体" w:hAnsi="宋体" w:cs="宋体"/>
                <w:color w:val="1E1C11"/>
                <w:szCs w:val="21"/>
              </w:rPr>
            </w:pPr>
            <w:r w:rsidRPr="00975528">
              <w:rPr>
                <w:rFonts w:ascii="宋体" w:hAnsi="宋体" w:cs="宋体"/>
                <w:bCs/>
                <w:color w:val="1E1C11"/>
                <w:szCs w:val="21"/>
              </w:rPr>
              <w:t>落实十大主题宣传教育活动要求</w:t>
            </w:r>
            <w:r w:rsidRPr="00975528">
              <w:rPr>
                <w:rFonts w:ascii="宋体" w:hAnsi="宋体" w:cs="宋体" w:hint="eastAsia"/>
                <w:bCs/>
                <w:color w:val="1E1C11"/>
                <w:szCs w:val="21"/>
              </w:rPr>
              <w:t>，</w:t>
            </w:r>
            <w:r w:rsidRPr="00975528">
              <w:rPr>
                <w:rFonts w:ascii="宋体" w:hAnsi="宋体" w:cs="宋体"/>
                <w:bCs/>
                <w:color w:val="1E1C11"/>
                <w:szCs w:val="21"/>
              </w:rPr>
              <w:t>每月由学院易班指导老师开展互评</w:t>
            </w:r>
            <w:r w:rsidRPr="00975528">
              <w:rPr>
                <w:rFonts w:ascii="宋体" w:hAnsi="宋体" w:cs="宋体" w:hint="eastAsia"/>
                <w:bCs/>
                <w:color w:val="1E1C11"/>
                <w:szCs w:val="21"/>
              </w:rPr>
              <w:t>。</w:t>
            </w:r>
          </w:p>
        </w:tc>
      </w:tr>
    </w:tbl>
    <w:p w:rsidR="000D0E99" w:rsidRDefault="000D0E99" w:rsidP="000D0E99">
      <w:pPr>
        <w:spacing w:line="360" w:lineRule="auto"/>
        <w:ind w:right="960"/>
        <w:jc w:val="center"/>
        <w:rPr>
          <w:rFonts w:ascii="宋体" w:hAnsi="宋体" w:cs="宋体"/>
          <w:b/>
          <w:bCs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第三章  附则</w:t>
      </w:r>
    </w:p>
    <w:p w:rsidR="000D0E99" w:rsidRPr="003C6CA6" w:rsidRDefault="000D0E99" w:rsidP="000D0E99">
      <w:pPr>
        <w:pStyle w:val="a4"/>
        <w:shd w:val="clear" w:color="auto" w:fill="FFFFFF"/>
        <w:spacing w:before="0" w:beforeAutospacing="0" w:after="0" w:afterAutospacing="0" w:line="360" w:lineRule="auto"/>
        <w:ind w:left="480"/>
        <w:rPr>
          <w:rFonts w:cs="Times New Roman"/>
          <w:kern w:val="2"/>
        </w:rPr>
      </w:pPr>
      <w:r w:rsidRPr="0035699B">
        <w:rPr>
          <w:b/>
          <w:color w:val="333333"/>
        </w:rPr>
        <w:t>第六条</w:t>
      </w:r>
      <w:r>
        <w:rPr>
          <w:rFonts w:hint="eastAsia"/>
          <w:color w:val="333333"/>
        </w:rPr>
        <w:t xml:space="preserve">  </w:t>
      </w:r>
      <w:r w:rsidRPr="003C6CA6">
        <w:rPr>
          <w:rFonts w:cs="Times New Roman" w:hint="eastAsia"/>
          <w:kern w:val="2"/>
        </w:rPr>
        <w:t>本办法由党委学生工作部（处）负责解释。</w:t>
      </w:r>
    </w:p>
    <w:p w:rsidR="000D0E99" w:rsidRPr="00A61E19" w:rsidRDefault="000D0E99" w:rsidP="000D0E99">
      <w:pPr>
        <w:pStyle w:val="a4"/>
        <w:shd w:val="clear" w:color="auto" w:fill="FFFFFF"/>
        <w:spacing w:before="0" w:beforeAutospacing="0" w:after="0" w:afterAutospacing="0" w:line="360" w:lineRule="auto"/>
        <w:ind w:left="480"/>
        <w:rPr>
          <w:rFonts w:cs="Times New Roman"/>
          <w:kern w:val="2"/>
        </w:rPr>
      </w:pPr>
      <w:r w:rsidRPr="0035699B">
        <w:rPr>
          <w:b/>
          <w:color w:val="333333"/>
        </w:rPr>
        <w:t>第</w:t>
      </w:r>
      <w:r>
        <w:rPr>
          <w:b/>
          <w:color w:val="333333"/>
        </w:rPr>
        <w:t>七</w:t>
      </w:r>
      <w:r w:rsidRPr="0035699B">
        <w:rPr>
          <w:b/>
          <w:color w:val="333333"/>
        </w:rPr>
        <w:t>条</w:t>
      </w:r>
      <w:r>
        <w:rPr>
          <w:rFonts w:hint="eastAsia"/>
          <w:color w:val="333333"/>
        </w:rPr>
        <w:t xml:space="preserve">  </w:t>
      </w:r>
      <w:r w:rsidRPr="003C6CA6">
        <w:rPr>
          <w:rFonts w:cs="Times New Roman" w:hint="eastAsia"/>
          <w:kern w:val="2"/>
        </w:rPr>
        <w:t>本办法</w:t>
      </w:r>
      <w:r>
        <w:rPr>
          <w:rFonts w:cs="Times New Roman" w:hint="eastAsia"/>
          <w:kern w:val="2"/>
        </w:rPr>
        <w:t>自</w:t>
      </w:r>
      <w:r w:rsidRPr="003C6CA6">
        <w:rPr>
          <w:rFonts w:cs="Times New Roman" w:hint="eastAsia"/>
          <w:kern w:val="2"/>
        </w:rPr>
        <w:t>20</w:t>
      </w:r>
      <w:r>
        <w:rPr>
          <w:rFonts w:cs="Times New Roman"/>
          <w:kern w:val="2"/>
        </w:rPr>
        <w:t>20</w:t>
      </w:r>
      <w:r w:rsidRPr="003C6CA6">
        <w:rPr>
          <w:rFonts w:cs="Times New Roman" w:hint="eastAsia"/>
          <w:kern w:val="2"/>
        </w:rPr>
        <w:t>年</w:t>
      </w:r>
      <w:r>
        <w:rPr>
          <w:rFonts w:cs="Times New Roman"/>
          <w:kern w:val="2"/>
        </w:rPr>
        <w:t>5</w:t>
      </w:r>
      <w:r w:rsidRPr="003C6CA6">
        <w:rPr>
          <w:rFonts w:cs="Times New Roman" w:hint="eastAsia"/>
          <w:kern w:val="2"/>
        </w:rPr>
        <w:t>月起开始执行。</w:t>
      </w:r>
    </w:p>
    <w:p w:rsidR="000D0E99" w:rsidRPr="009660D7" w:rsidRDefault="000D0E99" w:rsidP="000D0E99">
      <w:pPr>
        <w:pStyle w:val="a4"/>
        <w:shd w:val="clear" w:color="auto" w:fill="FFFFFF"/>
        <w:spacing w:before="0" w:beforeAutospacing="0" w:after="0" w:afterAutospacing="0" w:line="360" w:lineRule="auto"/>
        <w:ind w:left="480"/>
        <w:jc w:val="right"/>
      </w:pPr>
      <w:r w:rsidRPr="009660D7">
        <w:rPr>
          <w:rFonts w:hint="eastAsia"/>
        </w:rPr>
        <w:t>党委学生工作部（处）</w:t>
      </w:r>
    </w:p>
    <w:p w:rsidR="000D0E99" w:rsidRPr="008028A5" w:rsidRDefault="000D0E99" w:rsidP="000D0E99">
      <w:pPr>
        <w:pStyle w:val="a4"/>
        <w:shd w:val="clear" w:color="auto" w:fill="FFFFFF"/>
        <w:spacing w:before="0" w:beforeAutospacing="0" w:after="0" w:afterAutospacing="0" w:line="360" w:lineRule="auto"/>
        <w:ind w:left="480"/>
      </w:pPr>
      <w:r w:rsidRPr="009660D7">
        <w:rPr>
          <w:rFonts w:hint="eastAsia"/>
        </w:rPr>
        <w:t xml:space="preserve">                  </w:t>
      </w:r>
      <w:r>
        <w:rPr>
          <w:rFonts w:hint="eastAsia"/>
        </w:rPr>
        <w:t xml:space="preserve">                              </w:t>
      </w:r>
      <w:r w:rsidRPr="009660D7">
        <w:rPr>
          <w:rFonts w:hint="eastAsia"/>
        </w:rPr>
        <w:t>20</w:t>
      </w:r>
      <w:r>
        <w:t>20</w:t>
      </w:r>
      <w:r w:rsidRPr="009660D7">
        <w:rPr>
          <w:rFonts w:hint="eastAsia"/>
        </w:rPr>
        <w:t>年</w:t>
      </w:r>
      <w:r>
        <w:t>4</w:t>
      </w:r>
      <w:r w:rsidRPr="009660D7">
        <w:rPr>
          <w:rFonts w:hint="eastAsia"/>
        </w:rPr>
        <w:t>月</w:t>
      </w:r>
      <w:r>
        <w:t>13日</w:t>
      </w:r>
    </w:p>
    <w:p w:rsidR="002C1505" w:rsidRDefault="002C1505"/>
    <w:sectPr w:rsidR="002C15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0B31BC"/>
    <w:multiLevelType w:val="singleLevel"/>
    <w:tmpl w:val="580B31BC"/>
    <w:lvl w:ilvl="0">
      <w:start w:val="2"/>
      <w:numFmt w:val="chineseCounting"/>
      <w:suff w:val="space"/>
      <w:lvlText w:val="第%1条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E99"/>
    <w:rsid w:val="000D0E99"/>
    <w:rsid w:val="002C1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172661-78FC-4052-AA06-B7DF88498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0E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0D0E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样式1"/>
    <w:basedOn w:val="a"/>
    <w:qFormat/>
    <w:rsid w:val="000D0E99"/>
    <w:rPr>
      <w:rFonts w:ascii="宋体" w:eastAsia="宋体" w:hAnsi="宋体" w:cs="Times New Roman"/>
      <w:b/>
      <w:szCs w:val="21"/>
    </w:rPr>
  </w:style>
  <w:style w:type="paragraph" w:styleId="a4">
    <w:name w:val="Normal (Web)"/>
    <w:basedOn w:val="a"/>
    <w:uiPriority w:val="99"/>
    <w:unhideWhenUsed/>
    <w:rsid w:val="000D0E9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168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me-1</dc:creator>
  <cp:keywords/>
  <dc:description/>
  <cp:lastModifiedBy>me-1</cp:lastModifiedBy>
  <cp:revision>1</cp:revision>
  <dcterms:created xsi:type="dcterms:W3CDTF">2020-04-13T07:08:00Z</dcterms:created>
  <dcterms:modified xsi:type="dcterms:W3CDTF">2020-04-13T07:09:00Z</dcterms:modified>
</cp:coreProperties>
</file>