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EC" w:rsidRPr="006627EC" w:rsidRDefault="006627EC" w:rsidP="006627EC">
      <w:pPr>
        <w:jc w:val="center"/>
        <w:rPr>
          <w:rFonts w:ascii="方正小标宋简体" w:eastAsia="方正小标宋简体" w:hAnsi="Calibri" w:cs="仿宋f壵...."/>
          <w:color w:val="000000"/>
          <w:kern w:val="0"/>
          <w:sz w:val="44"/>
          <w:szCs w:val="32"/>
        </w:rPr>
      </w:pPr>
      <w:bookmarkStart w:id="0" w:name="_Hlk101863689"/>
      <w:r w:rsidRPr="006627EC">
        <w:rPr>
          <w:rFonts w:ascii="方正小标宋简体" w:eastAsia="方正小标宋简体" w:hAnsi="Calibri" w:cs="仿宋f壵...." w:hint="eastAsia"/>
          <w:color w:val="000000"/>
          <w:kern w:val="0"/>
          <w:sz w:val="44"/>
          <w:szCs w:val="32"/>
        </w:rPr>
        <w:t>2022年大学生发展研究中心课题</w:t>
      </w:r>
      <w:r w:rsidR="00CE27B3">
        <w:rPr>
          <w:rFonts w:ascii="方正小标宋简体" w:eastAsia="方正小标宋简体" w:hAnsi="Calibri" w:cs="仿宋f壵...." w:hint="eastAsia"/>
          <w:color w:val="000000"/>
          <w:kern w:val="0"/>
          <w:sz w:val="44"/>
          <w:szCs w:val="32"/>
        </w:rPr>
        <w:t>申报</w:t>
      </w:r>
      <w:r w:rsidRPr="006627EC">
        <w:rPr>
          <w:rFonts w:ascii="方正小标宋简体" w:eastAsia="方正小标宋简体" w:hAnsi="Calibri" w:cs="仿宋f壵...." w:hint="eastAsia"/>
          <w:color w:val="000000"/>
          <w:kern w:val="0"/>
          <w:sz w:val="44"/>
          <w:szCs w:val="32"/>
        </w:rPr>
        <w:t>指南</w:t>
      </w:r>
      <w:bookmarkEnd w:id="0"/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一、大学生思想政治教育与党团建设研究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1.大数据时代学校思想政治教育创新研究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.优秀传统文化与大学生思想政治教育深度融合研究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3．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大思政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视域下的三全育人理论与实践研究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4．思政课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与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大学生日常思想政治教育的融合机制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5．疫情背景下高校大学生思想政治教育的研究与实践</w:t>
      </w:r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二、网络思想政治教育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网络强国战略背景下大学生网络素养内容、载体及培育机制研究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7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 xml:space="preserve"> 大学生网络社群及社交圈层化的特点与引导策略研究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 xml:space="preserve"> 网络强国战略背景下高校辅导员网络核心素养能力提升路径研究</w:t>
      </w:r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三、大学生心理健康教育与危机应对研究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.大学生心理问题发现排查和科学干预机制研究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10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.心理危机四级预警防控体系联动机制研究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11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.辅导员提升学生心理危机发现处置能力的方法路径研究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12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.学生骨干在心理危机早期发现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的作用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 xml:space="preserve">研究 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13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.特殊群体学生心理能力提升及干预方案研究</w:t>
      </w:r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四、大学生精细化管理与服务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14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一站式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学生社区综合管理模式研究与实践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15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基于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GIS的高校学生社区管理与精准服务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lastRenderedPageBreak/>
        <w:t>16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大数据背景下的精准化学生管理探索与实践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17.“00后”大学生日常行为管理现状及对策研究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五、大学生创新创业教育与学生发展研究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.能源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类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特色高校创新创业人才培养机制研究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.创新创业型大学生群体画像分析及精准思政引领策略研究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.创新创业大赛获奖团队及项目后续发展追踪研究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六、学生激励机制与资助育人体系研究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21．大学生资助育人体系构建与实践研究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22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.资助育人理论探索与实践研究</w:t>
      </w:r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七、大学生全程就业体系建设研究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23.三全育人视角下就业价值引领育人体系的构建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24.思政视域下生涯教育的校本化、全程化、数智化方案设计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25.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大学生生涯教育与就业指导优秀案例库建设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26.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“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课程思政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”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背景下就业指导与生涯规划课程建设研究</w:t>
      </w:r>
    </w:p>
    <w:p w:rsidR="006627EC" w:rsidRDefault="006627EC" w:rsidP="006627EC">
      <w:pPr>
        <w:rPr>
          <w:rFonts w:ascii="仿宋_GB2312" w:eastAsia="仿宋_GB2312" w:hAnsi="Calibri" w:cs="仿宋f壵....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b/>
          <w:bCs/>
          <w:color w:val="000000"/>
          <w:kern w:val="0"/>
          <w:sz w:val="32"/>
          <w:szCs w:val="32"/>
        </w:rPr>
        <w:t>八、社团改革与大学生素质教育研究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27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.素质教育背景下高校学生社团育人</w:t>
      </w:r>
      <w:bookmarkStart w:id="1" w:name="_GoBack"/>
      <w:bookmarkEnd w:id="1"/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机理</w:t>
      </w: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研究</w:t>
      </w:r>
    </w:p>
    <w:p w:rsidR="006627EC" w:rsidRDefault="006627EC" w:rsidP="006627EC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.深化共青团改革背景下高校学生社团建设路径</w:t>
      </w:r>
    </w:p>
    <w:p w:rsidR="00BE4C15" w:rsidRPr="00D202D9" w:rsidRDefault="006627EC">
      <w:pP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f壵...." w:hint="eastAsia"/>
          <w:color w:val="000000"/>
          <w:kern w:val="0"/>
          <w:sz w:val="32"/>
          <w:szCs w:val="32"/>
        </w:rPr>
        <w:t>29</w:t>
      </w:r>
      <w: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  <w:t>.深化共青团改革背景下高校学生社团临时党（团）支部作用发挥</w:t>
      </w:r>
    </w:p>
    <w:p w:rsidR="00D202D9" w:rsidRPr="00D202D9" w:rsidRDefault="00D202D9">
      <w:pPr>
        <w:rPr>
          <w:rFonts w:ascii="仿宋_GB2312" w:eastAsia="仿宋_GB2312" w:hAnsi="Calibri" w:cs="仿宋f壵...."/>
          <w:color w:val="000000"/>
          <w:kern w:val="0"/>
          <w:sz w:val="32"/>
          <w:szCs w:val="32"/>
        </w:rPr>
      </w:pPr>
    </w:p>
    <w:sectPr w:rsidR="00D202D9" w:rsidRPr="00D202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F16" w:rsidRDefault="00BD1F16" w:rsidP="006627EC">
      <w:r>
        <w:separator/>
      </w:r>
    </w:p>
  </w:endnote>
  <w:endnote w:type="continuationSeparator" w:id="0">
    <w:p w:rsidR="00BD1F16" w:rsidRDefault="00BD1F16" w:rsidP="00662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f壵....">
    <w:altName w:val="仿宋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F16" w:rsidRDefault="00BD1F16" w:rsidP="006627EC">
      <w:r>
        <w:separator/>
      </w:r>
    </w:p>
  </w:footnote>
  <w:footnote w:type="continuationSeparator" w:id="0">
    <w:p w:rsidR="00BD1F16" w:rsidRDefault="00BD1F16" w:rsidP="006627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37"/>
    <w:rsid w:val="00036723"/>
    <w:rsid w:val="001E099B"/>
    <w:rsid w:val="006627EC"/>
    <w:rsid w:val="00A46C37"/>
    <w:rsid w:val="00BD1F16"/>
    <w:rsid w:val="00BE4C15"/>
    <w:rsid w:val="00CE27B3"/>
    <w:rsid w:val="00D2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FF00D"/>
  <w15:chartTrackingRefBased/>
  <w15:docId w15:val="{E393C141-0CF7-4A90-B757-640DA587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EC"/>
    <w:pPr>
      <w:widowControl w:val="0"/>
      <w:jc w:val="both"/>
    </w:pPr>
    <w:rPr>
      <w:rFonts w:ascii="华文中宋" w:eastAsia="华文中宋" w:hAnsi="华文中宋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7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27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27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27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2022-05-27T00:58:00Z</dcterms:created>
  <dcterms:modified xsi:type="dcterms:W3CDTF">2022-06-07T08:14:00Z</dcterms:modified>
</cp:coreProperties>
</file>